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FB">
      <w:pPr>
        <w:spacing w:line="360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>ANEXO III</w:t>
      </w:r>
    </w:p>
    <w:p w14:paraId="000000FC">
      <w:pPr>
        <w:spacing w:line="360" w:lineRule="auto"/>
        <w:jc w:val="center"/>
        <w:rPr>
          <w:rFonts w:ascii="Calibri" w:hAnsi="Calibri" w:eastAsia="Calibri" w:cs="Calibri"/>
          <w:b/>
          <w:color w:val="000000"/>
          <w:sz w:val="24"/>
          <w:szCs w:val="24"/>
        </w:rPr>
      </w:pPr>
      <w:r>
        <w:rPr>
          <w:rFonts w:ascii="Calibri" w:hAnsi="Calibri" w:eastAsia="Calibri" w:cs="Calibri"/>
          <w:b/>
          <w:color w:val="000000"/>
          <w:sz w:val="24"/>
          <w:szCs w:val="24"/>
          <w:rtl w:val="0"/>
        </w:rPr>
        <w:t>EDITAL PPGEM N° 1, DE 19 DE MAIO DE 2025</w:t>
      </w:r>
    </w:p>
    <w:p w14:paraId="000000FD">
      <w:pPr>
        <w:spacing w:line="360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>PLANILHA PARA AVALIAÇÃO DO CURRÍCULO</w:t>
      </w:r>
    </w:p>
    <w:p w14:paraId="000000FE">
      <w:pPr>
        <w:jc w:val="center"/>
        <w:rPr>
          <w:rFonts w:ascii="Calibri" w:hAnsi="Calibri" w:eastAsia="Calibri" w:cs="Calibri"/>
          <w:b/>
          <w:sz w:val="24"/>
          <w:szCs w:val="24"/>
        </w:rPr>
      </w:pPr>
    </w:p>
    <w:p w14:paraId="000000FF">
      <w:pPr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u w:val="single"/>
          <w:rtl w:val="0"/>
        </w:rPr>
        <w:t xml:space="preserve"> As informações prestadas nesta planilha devem ser comprovadas.</w:t>
      </w:r>
      <w:r>
        <w:rPr>
          <w:rFonts w:ascii="Calibri" w:hAnsi="Calibri" w:eastAsia="Calibri" w:cs="Calibri"/>
          <w:sz w:val="22"/>
          <w:szCs w:val="22"/>
          <w:rtl w:val="0"/>
        </w:rPr>
        <w:t xml:space="preserve"> </w:t>
      </w:r>
      <w:r>
        <w:rPr>
          <w:rFonts w:ascii="Calibri" w:hAnsi="Calibri" w:eastAsia="Calibri" w:cs="Calibri"/>
          <w:b/>
          <w:sz w:val="22"/>
          <w:szCs w:val="22"/>
          <w:rtl w:val="0"/>
        </w:rPr>
        <w:t>ATENÇÃO!</w:t>
      </w:r>
      <w:r>
        <w:rPr>
          <w:rFonts w:ascii="Calibri" w:hAnsi="Calibri" w:eastAsia="Calibri" w:cs="Calibri"/>
          <w:sz w:val="22"/>
          <w:szCs w:val="22"/>
          <w:rtl w:val="0"/>
        </w:rPr>
        <w:t xml:space="preserve"> As informações prestadas pelo candidato no currículo Lattes não são consideradas como comprovação dos itens informados na planilha.</w:t>
      </w:r>
      <w:bookmarkStart w:id="0" w:name="_GoBack"/>
      <w:bookmarkEnd w:id="0"/>
    </w:p>
    <w:p w14:paraId="00000100">
      <w:pPr>
        <w:jc w:val="center"/>
        <w:rPr>
          <w:rFonts w:ascii="Calibri" w:hAnsi="Calibri" w:eastAsia="Calibri" w:cs="Calibri"/>
          <w:b/>
          <w:sz w:val="24"/>
          <w:szCs w:val="24"/>
        </w:rPr>
      </w:pPr>
    </w:p>
    <w:tbl>
      <w:tblPr>
        <w:tblStyle w:val="4"/>
        <w:tblW w:w="91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410"/>
        <w:gridCol w:w="490"/>
        <w:gridCol w:w="1778"/>
        <w:gridCol w:w="567"/>
        <w:gridCol w:w="2693"/>
      </w:tblGrid>
      <w:tr w14:paraId="63B99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01">
            <w:pPr>
              <w:ind w:firstLine="0"/>
              <w:jc w:val="center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  <w:rtl w:val="0"/>
              </w:rPr>
              <w:t>IDENTIFICAÇÃO</w:t>
            </w:r>
          </w:p>
        </w:tc>
      </w:tr>
      <w:tr w14:paraId="7AFD7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07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 xml:space="preserve">Candidato </w:t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08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14:paraId="42510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0D">
            <w:pPr>
              <w:ind w:firstLine="0"/>
              <w:jc w:val="center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  <w:shd w:val="clear" w:fill="DBE5F1"/>
                <w:rtl w:val="0"/>
              </w:rPr>
              <w:t>Avaliação referente ao mestrado - Nota</w:t>
            </w:r>
            <w:r>
              <w:rPr>
                <w:rFonts w:ascii="Calibri" w:hAnsi="Calibri" w:eastAsia="Calibri" w:cs="Calibri"/>
                <w:b/>
                <w:sz w:val="22"/>
                <w:szCs w:val="22"/>
                <w:rtl w:val="0"/>
              </w:rPr>
              <w:t xml:space="preserve"> 1 (peso 30%)</w:t>
            </w:r>
          </w:p>
        </w:tc>
      </w:tr>
      <w:tr w14:paraId="74810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13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 xml:space="preserve">Tempo para conclusão do mestrado 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15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 xml:space="preserve">☐ ≤ 24 meses = 1,0 </w:t>
            </w:r>
          </w:p>
          <w:p w14:paraId="00000116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☐ 25 a 30 meses = 0,5</w:t>
            </w:r>
          </w:p>
        </w:tc>
      </w:tr>
      <w:tr w14:paraId="48DC7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1A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Coeficiente de rendimento do curso de pós-graduação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1C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☐ Conceito A para ≥ 50% das disciplinas cursadas = 1,0</w:t>
            </w:r>
          </w:p>
          <w:p w14:paraId="0000011D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☐ Conceito B para ≥ 50% das disciplinas cursadas  = 0,5</w:t>
            </w:r>
          </w:p>
        </w:tc>
      </w:tr>
      <w:tr w14:paraId="4455E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21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 xml:space="preserve">Publicação vinculada à dissertação de mestrado em periódico Qualis ≥ </w:t>
            </w:r>
            <w:r>
              <w:rPr>
                <w:sz w:val="22"/>
                <w:szCs w:val="22"/>
                <w:rtl w:val="0"/>
              </w:rPr>
              <w:t>A3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23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☐ Sim = 1,0</w:t>
            </w:r>
          </w:p>
          <w:p w14:paraId="00000124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☐ Não = 0</w:t>
            </w:r>
          </w:p>
        </w:tc>
      </w:tr>
      <w:tr w14:paraId="03875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28">
            <w:pPr>
              <w:ind w:firstLine="0"/>
              <w:jc w:val="center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  <w:rtl w:val="0"/>
              </w:rPr>
              <w:t>Experiência profissional – Nota 2 (peso 20%)</w:t>
            </w:r>
          </w:p>
        </w:tc>
      </w:tr>
      <w:tr w14:paraId="2BEDC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2E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Engenheiro ou técnico de nível superior na área pretendida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32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☐ Tempo ≥ 2 anos = 1</w:t>
            </w:r>
          </w:p>
        </w:tc>
      </w:tr>
      <w:tr w14:paraId="0B504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34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Docência na área pretendida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38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☐ Tempo ≥ 2 anos = 1</w:t>
            </w:r>
          </w:p>
        </w:tc>
      </w:tr>
      <w:tr w14:paraId="63B31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3A">
            <w:pPr>
              <w:ind w:firstLine="0"/>
              <w:jc w:val="center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  <w:rtl w:val="0"/>
              </w:rPr>
              <w:t>Produção técnica /científica e de inovação – Nota 3 (peso = 50%)</w:t>
            </w:r>
          </w:p>
        </w:tc>
      </w:tr>
      <w:tr w14:paraId="10689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40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00000141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Periódicos (colocar o número de artigos publicados nos parênteses à direita)**</w:t>
            </w:r>
          </w:p>
          <w:p w14:paraId="00000142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45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(   ) Qualis A1* = 1</w:t>
            </w:r>
          </w:p>
          <w:p w14:paraId="00000146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(   ) Qualis A2* = 0,85</w:t>
            </w:r>
          </w:p>
          <w:p w14:paraId="00000147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(   ) Qualis A3* = 0,75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49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(   ) Qualis A4* = 0,5</w:t>
            </w:r>
          </w:p>
          <w:p w14:paraId="0000014A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(   ) Qualis B1* = 0,3</w:t>
            </w:r>
          </w:p>
          <w:p w14:paraId="0000014B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(   ) Qualis &lt; B1* = 0,1</w:t>
            </w:r>
          </w:p>
        </w:tc>
      </w:tr>
      <w:tr w14:paraId="7D43B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4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4F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* valor para cada artigo publicado</w:t>
            </w:r>
          </w:p>
        </w:tc>
      </w:tr>
      <w:tr w14:paraId="42DE5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52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 xml:space="preserve">Artigos em congresso ( Lavra de Minas e Tratamento de Minérios) 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55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 xml:space="preserve">(   ) 0,1 por artigo publicado </w:t>
            </w:r>
          </w:p>
          <w:p w14:paraId="00000156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(colocar o número de artigos publicados nos parênteses acima)</w:t>
            </w:r>
          </w:p>
        </w:tc>
      </w:tr>
      <w:tr w14:paraId="76CBC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59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Capítulo de livro ou livro referente à área do PPGEM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5C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(  ) 1 por capítulo ou livro publicado</w:t>
            </w:r>
          </w:p>
          <w:p w14:paraId="0000015D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(colocar o número de artigos publicados nos parênteses acima)</w:t>
            </w:r>
          </w:p>
        </w:tc>
      </w:tr>
      <w:tr w14:paraId="714AE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60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Programa de computador depositado no INPI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63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(   ) 1 por programa depositado</w:t>
            </w:r>
          </w:p>
          <w:p w14:paraId="00000164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(colocar o número d</w:t>
            </w:r>
            <w:r>
              <w:rPr>
                <w:sz w:val="22"/>
                <w:szCs w:val="22"/>
                <w:rtl w:val="0"/>
              </w:rPr>
              <w:t xml:space="preserve">e depósitos </w:t>
            </w: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no parênteses acima)</w:t>
            </w:r>
          </w:p>
        </w:tc>
      </w:tr>
      <w:tr w14:paraId="5F60C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67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Patente concedida pelo INPI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6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(   ) 1 por patente concedida</w:t>
            </w:r>
          </w:p>
          <w:p w14:paraId="000001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(colocar o número no parênteses acima)</w:t>
            </w:r>
          </w:p>
        </w:tc>
      </w:tr>
      <w:tr w14:paraId="45D26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6E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Patente depositada no INPI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7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(   ) 0,5  por patente depositada</w:t>
            </w:r>
          </w:p>
          <w:p w14:paraId="0000017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(colocar o número no parênteses acima)</w:t>
            </w:r>
          </w:p>
        </w:tc>
      </w:tr>
    </w:tbl>
    <w:p w14:paraId="00000175">
      <w:pPr>
        <w:jc w:val="both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  <w:rtl w:val="0"/>
        </w:rPr>
        <w:t>**Conforme informações do Qualis-Periódicos disponíveis para consulta na Plataforma Sucupira referentes ao Quadriênio 2017-2020.</w:t>
      </w:r>
    </w:p>
    <w:p w14:paraId="00000176">
      <w:pPr>
        <w:spacing w:line="276" w:lineRule="auto"/>
        <w:rPr>
          <w:rFonts w:ascii="Calibri" w:hAnsi="Calibri" w:eastAsia="Calibri" w:cs="Calibri"/>
          <w:b/>
        </w:rPr>
      </w:pPr>
    </w:p>
    <w:p w14:paraId="00000177">
      <w:pPr>
        <w:spacing w:line="276" w:lineRule="auto"/>
        <w:jc w:val="center"/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  <w:rtl w:val="0"/>
        </w:rPr>
        <w:t>Conversão CAPES para artigos que não estão listados no QUALIS em caso do JCR</w:t>
      </w:r>
    </w:p>
    <w:tbl>
      <w:tblPr>
        <w:tblStyle w:val="6"/>
        <w:tblW w:w="46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3722"/>
      </w:tblGrid>
      <w:tr w14:paraId="7BB11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78">
            <w:pPr>
              <w:ind w:firstLine="0"/>
              <w:jc w:val="center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  <w:rtl w:val="0"/>
              </w:rPr>
              <w:t>Classe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79">
            <w:pPr>
              <w:ind w:firstLine="0"/>
              <w:jc w:val="center"/>
              <w:rPr>
                <w:rFonts w:ascii="Calibri" w:hAnsi="Calibri" w:eastAsia="Calibri" w:cs="Calibri"/>
                <w:b/>
                <w:sz w:val="18"/>
                <w:szCs w:val="18"/>
              </w:rPr>
            </w:pPr>
          </w:p>
        </w:tc>
      </w:tr>
      <w:tr w14:paraId="67D71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7A">
            <w:pPr>
              <w:ind w:firstLine="0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rtl w:val="0"/>
              </w:rPr>
              <w:t>A1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7B">
            <w:pPr>
              <w:ind w:firstLine="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rtl w:val="0"/>
              </w:rPr>
              <w:t>F.I. ≥ 1</w:t>
            </w:r>
          </w:p>
        </w:tc>
      </w:tr>
      <w:tr w14:paraId="31725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7C">
            <w:pPr>
              <w:ind w:firstLine="0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rtl w:val="0"/>
              </w:rPr>
              <w:t>A2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7D">
            <w:pPr>
              <w:ind w:firstLine="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rtl w:val="0"/>
              </w:rPr>
              <w:t>F.I. &lt; 1,0 e F.I. ≥ 0,5</w:t>
            </w:r>
          </w:p>
        </w:tc>
      </w:tr>
      <w:tr w14:paraId="3F991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7E">
            <w:pPr>
              <w:ind w:firstLine="0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rtl w:val="0"/>
              </w:rPr>
              <w:t>A3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7F">
            <w:pPr>
              <w:ind w:firstLine="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rtl w:val="0"/>
              </w:rPr>
              <w:t>F.I. &lt; 0,5 e F.I. ≥ 0,3</w:t>
            </w:r>
          </w:p>
        </w:tc>
      </w:tr>
      <w:tr w14:paraId="63B7B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80">
            <w:pPr>
              <w:ind w:firstLine="0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rtl w:val="0"/>
              </w:rPr>
              <w:t>A4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81">
            <w:pPr>
              <w:ind w:firstLine="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rtl w:val="0"/>
              </w:rPr>
              <w:t>F.I. &lt; 0,3/Scielo</w:t>
            </w:r>
          </w:p>
        </w:tc>
      </w:tr>
      <w:tr w14:paraId="6FAD0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82">
            <w:pPr>
              <w:ind w:firstLine="0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rtl w:val="0"/>
              </w:rPr>
              <w:t>B1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83">
            <w:pPr>
              <w:ind w:firstLine="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rtl w:val="0"/>
              </w:rPr>
              <w:t>Periódicos de associações/ sem F.I.</w:t>
            </w:r>
          </w:p>
        </w:tc>
      </w:tr>
    </w:tbl>
    <w:p w14:paraId="7D3BA16B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7746B"/>
    <w:rsid w:val="0ED7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_Style 87"/>
    <w:basedOn w:val="5"/>
    <w:qFormat/>
    <w:uiPriority w:val="0"/>
    <w:pPr>
      <w:ind w:firstLine="360"/>
    </w:pPr>
    <w:rPr>
      <w:rFonts w:ascii="Calibri" w:hAnsi="Calibri" w:eastAsia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_Style 88"/>
    <w:basedOn w:val="5"/>
    <w:qFormat/>
    <w:uiPriority w:val="0"/>
    <w:pPr>
      <w:ind w:firstLine="360"/>
    </w:pPr>
    <w:rPr>
      <w:rFonts w:ascii="Calibri" w:hAnsi="Calibri" w:eastAsia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2025-05-20T10:04:00Z</dcterms:created>
  <dc:creator>UFOP</dc:creator>
  <cp:lastModifiedBy>UFOP</cp:lastModifiedBy>
  <dcterms:modified xsi:type="dcterms:W3CDTF">2025-05-20T10:06:28Z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1995E611503A449F90A7A6309D3E245D_11</vt:lpwstr>
  </property>
</Properties>
</file>